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51F" w:rsidRPr="005C751F" w:rsidRDefault="005C751F" w:rsidP="005C7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51F">
        <w:rPr>
          <w:rFonts w:ascii="Arial" w:eastAsia="Times New Roman" w:hAnsi="Arial" w:cs="Arial"/>
          <w:b/>
          <w:bCs/>
          <w:color w:val="000000"/>
          <w:sz w:val="18"/>
          <w:szCs w:val="18"/>
          <w:shd w:val="clear" w:color="auto" w:fill="FFFFFF"/>
          <w:lang w:eastAsia="ru-RU"/>
        </w:rPr>
        <w:t>Согласованный список подтверждающих документов, которые подаются заявителем для получения Шенгенской визы в Российской Федерации</w:t>
      </w:r>
      <w:r w:rsidRPr="005C75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.</w:t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751F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  <w:lang w:eastAsia="ru-RU"/>
        </w:rPr>
        <w:t>Учтите, что Посольство в ходе рассмотрения заявления может в обоснованных случаях запросить дополнительные документы, которые не приведены в указанном ниже списке.</w:t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1"/>
        <w:gridCol w:w="9094"/>
      </w:tblGrid>
      <w:tr w:rsidR="005C751F" w:rsidRPr="005C751F" w:rsidTr="005C751F">
        <w:trPr>
          <w:tblCellSpacing w:w="0" w:type="dxa"/>
        </w:trPr>
        <w:tc>
          <w:tcPr>
            <w:tcW w:w="200" w:type="pct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1)</w:t>
            </w:r>
          </w:p>
        </w:tc>
        <w:tc>
          <w:tcPr>
            <w:tcW w:w="4800" w:type="pct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Согласованная</w:t>
            </w:r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 визовая анкета</w:t>
            </w: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заполненная  </w:t>
            </w:r>
            <w:hyperlink r:id="rId5" w:tgtFrame="_blank" w:history="1">
              <w:r w:rsidRPr="005C751F">
                <w:rPr>
                  <w:rFonts w:ascii="Arial" w:eastAsia="Times New Roman" w:hAnsi="Arial" w:cs="Arial"/>
                  <w:color w:val="006A44"/>
                  <w:sz w:val="18"/>
                  <w:szCs w:val="18"/>
                  <w:u w:val="single"/>
                  <w:lang w:eastAsia="ru-RU"/>
                </w:rPr>
                <w:t>в электронном виде</w:t>
              </w:r>
            </w:hyperlink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и подписанная заявителем (анкеты несовершеннолетних подписывает один из родителей или законных опекунов). Если у вас возникли трудности с заполнением анкеты, в Визовом центре вы можете воспользоваться услугой </w:t>
            </w:r>
            <w:hyperlink r:id="rId6" w:history="1">
              <w:r w:rsidRPr="005C751F">
                <w:rPr>
                  <w:rFonts w:ascii="Arial" w:eastAsia="Times New Roman" w:hAnsi="Arial" w:cs="Arial"/>
                  <w:color w:val="006A44"/>
                  <w:sz w:val="18"/>
                  <w:szCs w:val="18"/>
                  <w:u w:val="single"/>
                  <w:lang w:eastAsia="ru-RU"/>
                </w:rPr>
                <w:t>«Заполнение анкеты»</w:t>
              </w:r>
            </w:hyperlink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Заграничный паспорт</w:t>
            </w: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действующий как минимум в течение трех месяцев после планируемой даты (последнего) выезда из Шенгенской зоны, содержащий как минимум две чистые страницы и выданный не более десяти лет тому назад.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Фотография</w:t>
            </w: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отвечающая </w:t>
            </w:r>
            <w:hyperlink r:id="rId7" w:tgtFrame="_blank" w:history="1">
              <w:r w:rsidRPr="005C751F">
                <w:rPr>
                  <w:rFonts w:ascii="Arial" w:eastAsia="Times New Roman" w:hAnsi="Arial" w:cs="Arial"/>
                  <w:color w:val="006A44"/>
                  <w:sz w:val="18"/>
                  <w:szCs w:val="18"/>
                  <w:u w:val="single"/>
                  <w:lang w:eastAsia="ru-RU"/>
                </w:rPr>
                <w:t>требованиям Международной организации гражданской авиации</w:t>
              </w:r>
            </w:hyperlink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(ИКАО).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Визовый сбор.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Медицинское страхование на время поездки</w:t>
            </w: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действующее в течение всего периода планируемого пребывания (в случае многократной визы - действующее в течение всего периода первой поездки) во всех странах Шенгенской зоны и покрывающее все расходы, которые могут возникнуть в связи с репатриацией по медицинским причинам, срочной медицинской помощью, срочной госпитализацией или смертью во время пребывания.</w:t>
            </w:r>
            <w:proofErr w:type="gramEnd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Минимальное страховое обеспечение должно составлять 30 000 евро (без франшизы). Рукописные полисы не принимаются. Медицинскую страховку вы можете оформить в Визовом центре.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Копия гражданского паспорта</w:t>
            </w: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(выдается в возрасте 14 лет)</w:t>
            </w:r>
            <w:proofErr w:type="gramStart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:с</w:t>
            </w:r>
            <w:proofErr w:type="gramEnd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траницы с биографическими данными заявителя, с отметками о выданном ему/ей заграничном паспорте/паспортах, его/ее семейном положении и регистрации в России.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Для несовершеннолетних: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8593"/>
            </w:tblGrid>
            <w:tr w:rsidR="005C751F" w:rsidRPr="005C751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</w:t>
                  </w:r>
                </w:p>
              </w:tc>
              <w:tc>
                <w:tcPr>
                  <w:tcW w:w="4800" w:type="pct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Свидетельствоо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рождении</w:t>
                  </w:r>
                  <w:proofErr w:type="gramStart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  <w:proofErr w:type="gram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proofErr w:type="gramStart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</w:t>
                  </w:r>
                  <w:proofErr w:type="gram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ригинал+копия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C751F" w:rsidRPr="005C75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Согласие родителей или законных опекунов</w:t>
                  </w: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(даже если ребенок едет с одним из родителей\опекунов)</w:t>
                  </w:r>
                  <w:proofErr w:type="gram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</w:t>
                  </w:r>
                  <w:proofErr w:type="spellStart"/>
                  <w:proofErr w:type="gram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оригинал+копия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5C751F" w:rsidRPr="005C75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Копия действующей Шенгенской визы родител</w:t>
                  </w:r>
                  <w:proofErr w:type="gramStart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я(</w:t>
                  </w:r>
                  <w:proofErr w:type="gramEnd"/>
                  <w:r w:rsidRPr="005C751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ей)или сопровождающего лица, которое едет с несовершеннолетним,</w:t>
                  </w: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если заявление на получение визы не подается родителем(</w:t>
                  </w: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ями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 одновременно.</w:t>
                  </w:r>
                </w:p>
              </w:tc>
            </w:tr>
          </w:tbl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Граждане третьих стран должны предоставить </w:t>
            </w:r>
            <w:r w:rsidRPr="005C751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документ, подтверждающий законность проживания</w:t>
            </w: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Российской Федерации в соответствии с федеральным законодательством (например, вид на жительство, разрешение на временное проживание или регистрацию ФМС), действительный не менее чем в течение трех месяцев после планируемого возвращения из Шенгенской зоны, или документ, подтверждающий, что заявитель подал заявление на возобновление документа, подтверждающего законность проживания.</w:t>
            </w:r>
            <w:proofErr w:type="gramEnd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Если заявитель не имеет постоянной регистрации на территории Российской Федерации, он должен </w:t>
            </w:r>
            <w:proofErr w:type="gramStart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предоставить документ</w:t>
            </w:r>
            <w:proofErr w:type="gramEnd"/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подтверждающий законность пребывания в Российской Федерации, и обоснование подачи заявления на получение визы в Российской Федерации, а не в стране проживания.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зависимости от категории въезжающего лица:</w:t>
            </w:r>
          </w:p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1"/>
              <w:gridCol w:w="8593"/>
            </w:tblGrid>
            <w:tr w:rsidR="005C751F" w:rsidRPr="005C751F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i.</w:t>
                  </w:r>
                </w:p>
              </w:tc>
              <w:tc>
                <w:tcPr>
                  <w:tcW w:w="4800" w:type="pct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Лица, посещающие места захоронения: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8073"/>
                  </w:tblGrid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i)</w:t>
                        </w:r>
                      </w:p>
                    </w:tc>
                    <w:tc>
                      <w:tcPr>
                        <w:tcW w:w="4800" w:type="pct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Официальный документ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подтверждающий наличие захоронения и сохранность могилы, а также родство или иные отношения между заявителем и погребенным.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Документ, подтверждающий трудоустройство (с указанием заработной платы); если такой документ отсутствует, необходимо 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предоставить документ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подтверждающий платежеспособность (выписку из банковского счета/счета кредитной карты давностью не более одной недели, дорожные чеки (40 евро/день) или спонсорство). Спонсором может являться только близкий родственник, участвующий в поездке.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намерение вернуться на родин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у(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владение недвижимостью в России)</w:t>
                        </w:r>
                      </w:p>
                    </w:tc>
                  </w:tr>
                </w:tbl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751F" w:rsidRPr="005C75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ii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Владельцы недвижимости в Шенгенской зоне и их близкие родственники: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8073"/>
                  </w:tblGrid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i)</w:t>
                        </w:r>
                      </w:p>
                    </w:tc>
                    <w:tc>
                      <w:tcPr>
                        <w:tcW w:w="4800" w:type="pct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Соответствующий национальный документ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(например, недавно (не более 30 дней тому назад) выданная выписка из реестра недвижимости (оригинал)), подтверждающий, что заявитель владеет указанной недвижимостью.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 поездках к близким родственникам необходимо 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предоставить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 документ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 подтверждающий родство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Документ, подтверждающий трудоустройство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(с указанием заработной платы); если такой документ отсутствует, необходимо предоставить 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документ, подтверждающий платежеспособность 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выписку из банковского счета/счета кредитной карты давностью не более одной недели, дорожные чеки (40 евро/день) или спонсорство).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Спонсором может являться только близкий родственник, участвующий в поездке.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намерение вернуться на родин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у(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владение недвижимостью в России)</w:t>
                        </w:r>
                      </w:p>
                    </w:tc>
                  </w:tr>
                </w:tbl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C751F" w:rsidRPr="005C751F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iii</w:t>
                  </w:r>
                  <w:proofErr w:type="spellEnd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Туристы и другие лица, совершающие поездки частного характера: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8073"/>
                  </w:tblGrid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200" w:type="pct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i)</w:t>
                        </w:r>
                      </w:p>
                    </w:tc>
                    <w:tc>
                      <w:tcPr>
                        <w:tcW w:w="4800" w:type="pct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Документ, подтверждающий место проживания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(например, приглашение от принимающей стороны, если вы собираетесь остановиться у этой стороны; документ от учреждения, предоставляющего место проживания, или любой иной подходящий документ, подтверждающий планируемое место проживания в соответствии с законодательством Литовской Республики);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Документ, подтверждающий программу поездки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(например, подтверждение заказа организованной поездки или любой иной подходящий документ, подтверждающий планы поездки, например, забронированный билет в обратную сторону)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 Если документы о бронировании места проживания или обратного билета будут признаны недостаточными, заявителя могут попросить 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предоставить документы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, подтверждающие их оплату.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iii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Документ, подтверждающий трудоустройство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(с указанием заработной платы) давностью не более одной недели; если такой документ отсутствует, необходимо предоставить 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документ, подтверждающий платежеспособность </w:t>
                        </w: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(например, выписк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у(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и) из банковского счета/счета кредитной карты как минимум за три предшествующих месяца, дорожные чеки (40 евро/день) или спонсорство). Спонсором может являться только близкий родственник, участвующий в поездке.</w:t>
                        </w:r>
                      </w:p>
                    </w:tc>
                  </w:tr>
                  <w:tr w:rsidR="005C751F" w:rsidRPr="005C751F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iv</w:t>
                        </w:r>
                        <w:proofErr w:type="spell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C751F" w:rsidRPr="005C751F" w:rsidRDefault="005C751F" w:rsidP="005C751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намерение вернуться на родин</w:t>
                        </w:r>
                        <w:proofErr w:type="gramStart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у(</w:t>
                        </w:r>
                        <w:proofErr w:type="gramEnd"/>
                        <w:r w:rsidRPr="005C751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документ, подтверждающий владение недвижимостью в России)</w:t>
                        </w:r>
                      </w:p>
                    </w:tc>
                  </w:tr>
                </w:tbl>
                <w:p w:rsidR="005C751F" w:rsidRPr="005C751F" w:rsidRDefault="005C751F" w:rsidP="005C751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10)</w:t>
            </w:r>
          </w:p>
        </w:tc>
        <w:tc>
          <w:tcPr>
            <w:tcW w:w="0" w:type="auto"/>
            <w:shd w:val="clear" w:color="auto" w:fill="FFFFFF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hyperlink r:id="rId8" w:tgtFrame="_blank" w:history="1">
              <w:r w:rsidRPr="005C751F">
                <w:rPr>
                  <w:rFonts w:ascii="Arial" w:eastAsia="Times New Roman" w:hAnsi="Arial" w:cs="Arial"/>
                  <w:color w:val="006A44"/>
                  <w:sz w:val="18"/>
                  <w:szCs w:val="18"/>
                  <w:u w:val="single"/>
                  <w:lang w:eastAsia="ru-RU"/>
                </w:rPr>
                <w:t>Согласие на обработку персональных данных </w:t>
              </w:r>
            </w:hyperlink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5C751F" w:rsidRPr="005C751F" w:rsidRDefault="005C751F" w:rsidP="005C75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75"/>
      </w:tblGrid>
      <w:tr w:rsidR="005C751F" w:rsidRPr="005C751F" w:rsidTr="005C751F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5C751F" w:rsidRPr="005C751F" w:rsidRDefault="005C751F" w:rsidP="005C751F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5C751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highlight w:val="yellow"/>
                <w:lang w:eastAsia="ru-RU"/>
              </w:rPr>
              <w:t>Требования к фотографии:</w:t>
            </w:r>
          </w:p>
        </w:tc>
      </w:tr>
    </w:tbl>
    <w:p w:rsidR="00703AAE" w:rsidRDefault="005C751F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Перед подачей вашего заявления на получение визы внимательно прочитайте требования к фотографиям. Фотография должна быть сделана не более 6 месяцев назад. Фотография должна быть сделана в анфас и содержать изображение всего лица. Размер изображения лица от корней волос до нижнего края подбородка - от 32 мм (1 ¼ дюйма) до 36 мм (1 3/8 дюйма). При фотографировании смотрите прямо в объектив камеры, выражение лица должно быть нейтральным, не улыбайтесь.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Фотография лица должна быть резкой, чистой, достаточно контрастной. На фотографии лица не должно быть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lastRenderedPageBreak/>
        <w:t>отражений, теней и красных глаз. Фон должен быть нейтральным, светлым и достаточно контрастным по отношению к лицу и волосам (нейтрально-серым). Не допускается присутствие на фото отражений от стекол, а также солнцезащитных очков и очков с тонированными стеклами. Оправа очков не должна скрывать глаза.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Фотография должна быть отпечатана на бумаге высокого качества с разрешением не менее 600 точек на дюйм; тон кожи должен быть натуральным. Недопустимо наличие на фотографии сгибов, царапин и пятен.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Пройдите по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006A44"/>
            <w:sz w:val="18"/>
            <w:szCs w:val="18"/>
            <w:shd w:val="clear" w:color="auto" w:fill="FFFFFF"/>
          </w:rPr>
          <w:t>ссылке</w:t>
        </w:r>
      </w:hyperlink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чтобы увидеть требования, предъявляемые к фотографии Международной организацией гражданской авиации (ИКАО).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5C751F" w:rsidRDefault="005C751F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5C751F" w:rsidRPr="005C751F" w:rsidRDefault="005C751F" w:rsidP="005C751F">
      <w:pPr>
        <w:shd w:val="clear" w:color="auto" w:fill="FFFFFF"/>
        <w:spacing w:after="0" w:line="360" w:lineRule="atLeast"/>
        <w:rPr>
          <w:rFonts w:ascii="Arial" w:eastAsia="Times New Roman" w:hAnsi="Arial" w:cs="Arial"/>
          <w:caps/>
          <w:color w:val="006A44"/>
          <w:sz w:val="33"/>
          <w:szCs w:val="33"/>
          <w:lang w:eastAsia="ru-RU"/>
        </w:rPr>
      </w:pPr>
      <w:r w:rsidRPr="005C751F">
        <w:rPr>
          <w:rFonts w:ascii="Arial" w:eastAsia="Times New Roman" w:hAnsi="Arial" w:cs="Arial"/>
          <w:caps/>
          <w:color w:val="006A44"/>
          <w:sz w:val="33"/>
          <w:szCs w:val="33"/>
          <w:lang w:eastAsia="ru-RU"/>
        </w:rPr>
        <w:t>СБОРЫ</w:t>
      </w:r>
    </w:p>
    <w:tbl>
      <w:tblPr>
        <w:tblW w:w="5160" w:type="pct"/>
        <w:tblCellSpacing w:w="0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C751F" w:rsidRPr="005C751F" w:rsidTr="005C751F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5C751F" w:rsidRPr="005C751F" w:rsidRDefault="005C751F" w:rsidP="005C751F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C751F" w:rsidRPr="005C751F" w:rsidTr="005C751F">
        <w:trPr>
          <w:tblCellSpacing w:w="0" w:type="dxa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365"/>
              <w:gridCol w:w="2690"/>
              <w:gridCol w:w="2083"/>
              <w:gridCol w:w="2217"/>
            </w:tblGrid>
            <w:tr w:rsidR="005C751F" w:rsidRPr="005C751F">
              <w:trPr>
                <w:trHeight w:val="405"/>
                <w:tblCellSpacing w:w="7" w:type="dxa"/>
              </w:trPr>
              <w:tc>
                <w:tcPr>
                  <w:tcW w:w="375" w:type="dxa"/>
                  <w:shd w:val="clear" w:color="auto" w:fill="F6F4F4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 Шенгенской визы</w:t>
                  </w:r>
                </w:p>
              </w:tc>
              <w:tc>
                <w:tcPr>
                  <w:tcW w:w="375" w:type="dxa"/>
                  <w:shd w:val="clear" w:color="auto" w:fill="F6F4F4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375" w:type="dxa"/>
                  <w:shd w:val="clear" w:color="auto" w:fill="F6F4F4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</w:t>
                  </w:r>
                </w:p>
              </w:tc>
              <w:tc>
                <w:tcPr>
                  <w:tcW w:w="375" w:type="dxa"/>
                  <w:shd w:val="clear" w:color="auto" w:fill="F6F4F4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C-</w:t>
                  </w:r>
                  <w:proofErr w:type="spell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Express</w:t>
                  </w:r>
                  <w:proofErr w:type="spellEnd"/>
                </w:p>
              </w:tc>
            </w:tr>
            <w:tr w:rsidR="005C751F" w:rsidRPr="005C751F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Граждане Российской Федерации, Украины, Молдовы, Грузии, Сербии, Черногории, Албании, Боснии и Герцеговины, Бывшей Югославской Республики Македония, Азербайджана и Армении    </w:t>
                  </w:r>
                  <w:proofErr w:type="gramEnd"/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Граждане других государств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только за срочную визу (только для граждан Российской Федерации и Украины)</w:t>
                  </w:r>
                </w:p>
              </w:tc>
            </w:tr>
            <w:tr w:rsidR="005C751F" w:rsidRPr="005C751F">
              <w:trPr>
                <w:tblCellSpacing w:w="7" w:type="dxa"/>
              </w:trPr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 евро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 евро</w:t>
                  </w:r>
                </w:p>
              </w:tc>
              <w:tc>
                <w:tcPr>
                  <w:tcW w:w="375" w:type="dxa"/>
                  <w:shd w:val="clear" w:color="auto" w:fill="FFFFFF"/>
                  <w:vAlign w:val="center"/>
                  <w:hideMark/>
                </w:tcPr>
                <w:p w:rsidR="005C751F" w:rsidRPr="005C751F" w:rsidRDefault="005C751F" w:rsidP="005C75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C751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 евро</w:t>
                  </w:r>
                </w:p>
              </w:tc>
            </w:tr>
          </w:tbl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751F" w:rsidRPr="005C751F" w:rsidRDefault="005C751F" w:rsidP="005C7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Список лиц, освобожденных от уплаты визового сбора, находится </w:t>
      </w:r>
      <w:hyperlink r:id="rId10" w:tgtFrame="_blank" w:history="1">
        <w:r w:rsidRPr="005C751F">
          <w:rPr>
            <w:rFonts w:ascii="Arial" w:eastAsia="Times New Roman" w:hAnsi="Arial" w:cs="Arial"/>
            <w:color w:val="006A44"/>
            <w:sz w:val="18"/>
            <w:szCs w:val="18"/>
            <w:u w:val="single"/>
            <w:lang w:eastAsia="ru-RU"/>
          </w:rPr>
          <w:t>здесь</w:t>
        </w:r>
      </w:hyperlink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 </w:t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Сервисный сбор:</w:t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Помимо визового сбора, визовый центр взимает сервисный сбор в размере 20 евро, включая НДС, за каждое заявление.</w:t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  <w:t>Следующие заявители освобождаются от уплаты сервисного сбора: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"/>
        <w:gridCol w:w="9191"/>
      </w:tblGrid>
      <w:tr w:rsidR="005C751F" w:rsidRPr="005C751F" w:rsidTr="005C751F">
        <w:trPr>
          <w:tblCellSpacing w:w="0" w:type="dxa"/>
        </w:trPr>
        <w:tc>
          <w:tcPr>
            <w:tcW w:w="150" w:type="pct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3EA12C" wp14:editId="4BB9D86B">
                  <wp:extent cx="63500" cy="38100"/>
                  <wp:effectExtent l="0" t="0" r="0" b="0"/>
                  <wp:docPr id="1" name="Рисунок 1" descr="http://www.vfsglobal.com/lithuania/russia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fsglobal.com/lithuania/russia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возрасте до 6 лет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150" w:type="pct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3BA2A2" wp14:editId="5ADADD51">
                  <wp:extent cx="63500" cy="38100"/>
                  <wp:effectExtent l="0" t="0" r="0" b="0"/>
                  <wp:docPr id="2" name="Рисунок 2" descr="http://www.vfsglobal.com/lithuania/russia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fsglobal.com/lithuania/russia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с ограниченными возможностями и сопровождающие их лица (при предъявлении подтверждающих документов)</w:t>
            </w:r>
          </w:p>
        </w:tc>
      </w:tr>
    </w:tbl>
    <w:p w:rsidR="005C751F" w:rsidRPr="005C751F" w:rsidRDefault="005C751F" w:rsidP="005C751F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51F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5C751F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Примечание: 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4"/>
        <w:gridCol w:w="9191"/>
      </w:tblGrid>
      <w:tr w:rsidR="005C751F" w:rsidRPr="005C751F" w:rsidTr="005C751F">
        <w:trPr>
          <w:tblCellSpacing w:w="0" w:type="dxa"/>
        </w:trPr>
        <w:tc>
          <w:tcPr>
            <w:tcW w:w="150" w:type="pct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E7938B" wp14:editId="491416FC">
                  <wp:extent cx="63500" cy="38100"/>
                  <wp:effectExtent l="0" t="0" r="0" b="0"/>
                  <wp:docPr id="3" name="Рисунок 3" descr="http://www.vfsglobal.com/lithuania/russia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vfsglobal.com/lithuania/russia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Визовый сбор и сервисный сбор можно оплатить в визовом центре наличными или с помощью кредитной или дебетовой карты. Данные сборы не возвращаются.</w:t>
            </w:r>
          </w:p>
        </w:tc>
      </w:tr>
      <w:tr w:rsidR="005C751F" w:rsidRPr="005C751F" w:rsidTr="005C751F">
        <w:trPr>
          <w:tblCellSpacing w:w="0" w:type="dxa"/>
        </w:trPr>
        <w:tc>
          <w:tcPr>
            <w:tcW w:w="150" w:type="pct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E1D607" wp14:editId="53DC9D90">
                  <wp:extent cx="63500" cy="38100"/>
                  <wp:effectExtent l="0" t="0" r="0" b="0"/>
                  <wp:docPr id="4" name="Рисунок 4" descr="http://www.vfsglobal.com/lithuania/russia/images/bullet_ne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fsglobal.com/lithuania/russia/images/bullet_ne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5C751F" w:rsidRPr="005C751F" w:rsidRDefault="005C751F" w:rsidP="005C75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визового сбора в рублях определяется Посольством Литвы в Москве в соответствии с текущим курсом обмена валют.</w:t>
            </w:r>
          </w:p>
        </w:tc>
      </w:tr>
    </w:tbl>
    <w:p w:rsidR="005C751F" w:rsidRDefault="005C751F">
      <w:bookmarkStart w:id="0" w:name="_GoBack"/>
      <w:bookmarkEnd w:id="0"/>
    </w:p>
    <w:sectPr w:rsidR="005C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1F"/>
    <w:rsid w:val="005C751F"/>
    <w:rsid w:val="0070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51F"/>
  </w:style>
  <w:style w:type="character" w:styleId="a3">
    <w:name w:val="Hyperlink"/>
    <w:basedOn w:val="a0"/>
    <w:uiPriority w:val="99"/>
    <w:semiHidden/>
    <w:unhideWhenUsed/>
    <w:rsid w:val="005C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C751F"/>
  </w:style>
  <w:style w:type="character" w:styleId="a3">
    <w:name w:val="Hyperlink"/>
    <w:basedOn w:val="a0"/>
    <w:uiPriority w:val="99"/>
    <w:semiHidden/>
    <w:unhideWhenUsed/>
    <w:rsid w:val="005C75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sglobal.com/lithuania/russia/pdf/processing-of-personal-data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fsglobal.com/lithuania/russia/pdf/Photo.pd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fsglobal.com/lithuania/russia/additionalservices.html" TargetMode="External"/><Relationship Id="rId11" Type="http://schemas.openxmlformats.org/officeDocument/2006/relationships/image" Target="media/image1.gif"/><Relationship Id="rId5" Type="http://schemas.openxmlformats.org/officeDocument/2006/relationships/hyperlink" Target="https://visa.vrm.lt/epm/index.xhtml" TargetMode="External"/><Relationship Id="rId10" Type="http://schemas.openxmlformats.org/officeDocument/2006/relationships/hyperlink" Target="http://www.vfsglobal.com/lithuania/russia/pdf/Visa_Gratis_19.03.1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fsglobal.com/lithuania/russia/pdf/Photo_19081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2017-06-19T00:47:00Z</dcterms:created>
  <dcterms:modified xsi:type="dcterms:W3CDTF">2017-06-19T00:50:00Z</dcterms:modified>
</cp:coreProperties>
</file>